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C0E8" w14:textId="57193B71" w:rsidR="00211D24" w:rsidRPr="00EB18AC" w:rsidRDefault="00211D24" w:rsidP="00211D24">
      <w:pPr>
        <w:jc w:val="center"/>
        <w:rPr>
          <w:b/>
          <w:sz w:val="32"/>
          <w:szCs w:val="32"/>
        </w:rPr>
      </w:pPr>
      <w:bookmarkStart w:id="0" w:name="RANGE!A1:G36"/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3ADB798B" w14:textId="4D3EC1A6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D8584C">
        <w:rPr>
          <w:rFonts w:ascii="Calibri" w:hAnsi="Calibri" w:cs="Calibri"/>
          <w:b/>
          <w:sz w:val="28"/>
          <w:szCs w:val="28"/>
        </w:rPr>
        <w:t>2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10D2AD9A" w14:textId="73767190" w:rsidR="00211D24" w:rsidRPr="00EB18AC" w:rsidRDefault="00211D24" w:rsidP="00A0775D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>„</w:t>
      </w:r>
      <w:r w:rsidR="00BD77F3" w:rsidRPr="00BD77F3">
        <w:t xml:space="preserve"> </w:t>
      </w:r>
      <w:r w:rsidR="00BD77F3" w:rsidRPr="00A0775D">
        <w:rPr>
          <w:b/>
          <w:bCs/>
          <w:sz w:val="28"/>
          <w:szCs w:val="28"/>
        </w:rPr>
        <w:t>MAS Rozvoj Krnovska</w:t>
      </w:r>
      <w:r w:rsidR="00BD77F3">
        <w:t xml:space="preserve"> 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– IROP – </w:t>
      </w:r>
      <w:r w:rsidR="00D8584C">
        <w:rPr>
          <w:rFonts w:ascii="Calibri" w:hAnsi="Calibri" w:cs="Calibri"/>
          <w:b/>
          <w:smallCaps/>
          <w:sz w:val="28"/>
          <w:szCs w:val="28"/>
        </w:rPr>
        <w:t>DOPRAVA</w:t>
      </w:r>
      <w:r w:rsidRPr="00EB18AC">
        <w:rPr>
          <w:rFonts w:ascii="Calibri" w:hAnsi="Calibri" w:cs="Calibri"/>
          <w:b/>
          <w:smallCaps/>
          <w:sz w:val="28"/>
          <w:szCs w:val="28"/>
        </w:rPr>
        <w:t>“</w:t>
      </w:r>
    </w:p>
    <w:p w14:paraId="7D5ABA31" w14:textId="69E7DA3A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D8584C">
        <w:rPr>
          <w:rFonts w:ascii="Calibri" w:hAnsi="Calibri" w:cs="Calibri"/>
          <w:b/>
          <w:smallCaps/>
          <w:sz w:val="28"/>
          <w:szCs w:val="28"/>
        </w:rPr>
        <w:t>60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– </w:t>
      </w:r>
      <w:r w:rsidR="00D8584C" w:rsidRPr="00D8584C">
        <w:rPr>
          <w:rFonts w:ascii="Calibri" w:hAnsi="Calibri" w:cs="Calibri"/>
          <w:b/>
          <w:smallCaps/>
          <w:sz w:val="24"/>
          <w:szCs w:val="24"/>
        </w:rPr>
        <w:t>DOPRAVA</w:t>
      </w:r>
      <w:r w:rsidRPr="00D8584C">
        <w:rPr>
          <w:rFonts w:ascii="Calibri" w:hAnsi="Calibri" w:cs="Calibri"/>
          <w:b/>
          <w:smallCaps/>
          <w:sz w:val="24"/>
          <w:szCs w:val="24"/>
        </w:rPr>
        <w:t xml:space="preserve"> </w:t>
      </w:r>
      <w:r w:rsidRPr="00EB18AC">
        <w:rPr>
          <w:rFonts w:ascii="Calibri" w:hAnsi="Calibri" w:cs="Calibri"/>
          <w:b/>
          <w:smallCaps/>
          <w:sz w:val="28"/>
          <w:szCs w:val="28"/>
        </w:rPr>
        <w:t>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687247CF" w:rsidR="00211D24" w:rsidRDefault="00211D24" w:rsidP="00211D24">
      <w:pPr>
        <w:jc w:val="both"/>
      </w:pPr>
      <w:r>
        <w:t xml:space="preserve">V rámci MAS bude nejprve ze strany kanceláře MAS </w:t>
      </w:r>
      <w:r w:rsidR="000E60B8">
        <w:t>Rozvoj Krnovska</w:t>
      </w:r>
      <w:r>
        <w:t xml:space="preserve"> provedena administrativní kontrola. Věcné hodnocení záměrů provádí Výběrová komise MAS</w:t>
      </w:r>
      <w:r w:rsidR="001E2DAC">
        <w:t xml:space="preserve"> Rozvoj Krnovska</w:t>
      </w:r>
      <w:r w:rsidR="00C50A8E">
        <w:t xml:space="preserve"> </w:t>
      </w:r>
      <w:r>
        <w:t xml:space="preserve"> jakožto výběrový orgán. Programový výbor MAS </w:t>
      </w:r>
      <w:r w:rsidR="008752FD">
        <w:t xml:space="preserve">Rozvoj Krnovska </w:t>
      </w:r>
      <w:r>
        <w:t xml:space="preserve">jakožto </w:t>
      </w:r>
      <w:r w:rsidR="008B7B1D">
        <w:t xml:space="preserve">rozhodovací </w:t>
      </w:r>
      <w:r>
        <w:t xml:space="preserve">orgán vybírá záměry, kterým bude vydáno Vyjádření o souladu se SCLLD MAS </w:t>
      </w:r>
      <w:r w:rsidR="0015550A">
        <w:t>Rozvoj Krnovska</w:t>
      </w:r>
      <w:r>
        <w:t>. Toto vyjádření je povinnou součástí žádosti o podporu, kterou nositelé vybraných záměrů následně zpracují v MS21+.</w:t>
      </w:r>
    </w:p>
    <w:p w14:paraId="3F8D9F1A" w14:textId="5BE11867" w:rsidR="00D41271" w:rsidRDefault="00D41271" w:rsidP="00F16719">
      <w:pPr>
        <w:spacing w:after="0"/>
        <w:jc w:val="both"/>
      </w:pPr>
      <w:r>
        <w:t>Postup hodnocení záměrů je uveden v směrnici MAS Rozvoj Krnovska a je zveřejněna na:</w:t>
      </w:r>
    </w:p>
    <w:p w14:paraId="1C7FC2A3" w14:textId="64522E66" w:rsidR="00A17CD5" w:rsidRPr="00946CCF" w:rsidRDefault="00000000" w:rsidP="00F16719">
      <w:pPr>
        <w:spacing w:after="0"/>
        <w:jc w:val="both"/>
        <w:rPr>
          <w:color w:val="0070C0"/>
        </w:rPr>
      </w:pPr>
      <w:hyperlink r:id="rId11" w:history="1">
        <w:r w:rsidR="00A17CD5" w:rsidRPr="00946CCF">
          <w:rPr>
            <w:rStyle w:val="Hypertextovodkaz"/>
            <w:color w:val="0070C0"/>
          </w:rPr>
          <w:t>Interni-postupy-smernice-IROP-2.pdf (maskrnovsko.cz)</w:t>
        </w:r>
      </w:hyperlink>
    </w:p>
    <w:p w14:paraId="289662AA" w14:textId="77777777" w:rsidR="00F16719" w:rsidRDefault="00F16719" w:rsidP="00F16719">
      <w:pPr>
        <w:spacing w:after="0"/>
        <w:jc w:val="both"/>
      </w:pPr>
    </w:p>
    <w:p w14:paraId="7A0D1AD6" w14:textId="5F6FDFDE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A24359">
        <w:t>60</w:t>
      </w:r>
      <w:r>
        <w:t xml:space="preserve"> IROP, a to prostřednictvím MS21+. Hodnocení žádostí o podporu je v kompetenci Centra pro regionální rozvoj (CRR). </w:t>
      </w:r>
    </w:p>
    <w:p w14:paraId="7CD82269" w14:textId="6C40B564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č. </w:t>
      </w:r>
      <w:r w:rsidR="008349C7">
        <w:t>60</w:t>
      </w:r>
      <w:r>
        <w:t xml:space="preserve"> IROP (vždy v aktuálním znění).</w:t>
      </w:r>
    </w:p>
    <w:p w14:paraId="2C5650A1" w14:textId="22A663DB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2" w:history="1">
        <w:r w:rsidR="00B974E1" w:rsidRPr="000C67AD">
          <w:rPr>
            <w:rStyle w:val="Hypertextovodkaz"/>
            <w:rFonts w:cstheme="minorHAnsi"/>
          </w:rPr>
          <w:t>https://irop.mmr.cz/cs/vyzvy-2021-2027/vyzvy/60vyzvairop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1DF42434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pdf opatřený elektronickým podpisem osoby (osoby) jednajících jménem žadatele (nebo osob zmocněných na základě plné moci) a </w:t>
      </w:r>
      <w:r w:rsidR="00BD7600">
        <w:t xml:space="preserve">případné doplňující </w:t>
      </w:r>
      <w:r>
        <w:t xml:space="preserve">přílohy je nutné zaslat na e-mail: </w:t>
      </w:r>
      <w:hyperlink r:id="rId13" w:history="1">
        <w:r w:rsidR="00A66B7C" w:rsidRPr="0018222B">
          <w:rPr>
            <w:rStyle w:val="Hypertextovodkaz"/>
            <w:b/>
            <w:bCs/>
          </w:rPr>
          <w:t>team@maskrnovsko.cz</w:t>
        </w:r>
      </w:hyperlink>
    </w:p>
    <w:p w14:paraId="7FCE3592" w14:textId="75BD298E" w:rsidR="00211D24" w:rsidRPr="008B7B1D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8B7B1D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30A4E2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0B936DD3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A66B7C">
              <w:rPr>
                <w:rFonts w:cs="Arial"/>
                <w:b/>
                <w:sz w:val="20"/>
                <w:szCs w:val="20"/>
              </w:rPr>
              <w:t>Rozvoj Krnovska</w:t>
            </w:r>
            <w:r w:rsidRPr="00331076">
              <w:rPr>
                <w:rFonts w:cs="Arial"/>
                <w:b/>
                <w:sz w:val="20"/>
                <w:szCs w:val="20"/>
              </w:rPr>
              <w:t xml:space="preserve"> o.p.s.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400CBA1E" w:rsidR="006E6251" w:rsidRPr="00331076" w:rsidRDefault="006E6251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B974E1" w:rsidRPr="00B974E1">
              <w:rPr>
                <w:rFonts w:cs="Arial"/>
                <w:bCs/>
                <w:sz w:val="20"/>
                <w:szCs w:val="20"/>
              </w:rPr>
              <w:t>60</w:t>
            </w:r>
            <w:r w:rsidR="00331076" w:rsidRPr="00B974E1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 w:rsidR="00CF0151">
              <w:rPr>
                <w:sz w:val="20"/>
                <w:szCs w:val="20"/>
              </w:rPr>
              <w:t>DOPRAVA</w:t>
            </w:r>
            <w:r w:rsidR="00331076" w:rsidRPr="00331076">
              <w:rPr>
                <w:sz w:val="20"/>
                <w:szCs w:val="20"/>
              </w:rPr>
              <w:t xml:space="preserve"> – SC 5.1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122C77B3" w:rsidR="006E6251" w:rsidRPr="00331076" w:rsidRDefault="006E6251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Výzva č. </w:t>
            </w:r>
            <w:r w:rsidR="001A788B">
              <w:rPr>
                <w:rFonts w:cs="Arial"/>
                <w:bCs/>
                <w:sz w:val="20"/>
                <w:szCs w:val="20"/>
              </w:rPr>
              <w:t>2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: MAS </w:t>
            </w:r>
            <w:r w:rsidR="005A1227">
              <w:rPr>
                <w:rFonts w:cs="Arial"/>
                <w:bCs/>
                <w:sz w:val="20"/>
                <w:szCs w:val="20"/>
              </w:rPr>
              <w:t>Rozvoj Krnovska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 – IROP – </w:t>
            </w:r>
            <w:r w:rsidR="001A788B">
              <w:rPr>
                <w:rFonts w:cs="Arial"/>
                <w:bCs/>
                <w:sz w:val="20"/>
                <w:szCs w:val="20"/>
              </w:rPr>
              <w:t>DOPRAVA</w:t>
            </w:r>
            <w:r w:rsidR="00887F7E">
              <w:rPr>
                <w:rFonts w:cs="Arial"/>
                <w:bCs/>
                <w:sz w:val="20"/>
                <w:szCs w:val="20"/>
              </w:rPr>
              <w:t xml:space="preserve"> 2023</w:t>
            </w:r>
          </w:p>
        </w:tc>
      </w:tr>
      <w:tr w:rsidR="00991E7D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991E7D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4F42A25A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7"/>
        <w:gridCol w:w="5013"/>
      </w:tblGrid>
      <w:tr w:rsidR="00991E7D" w:rsidRPr="00586900" w14:paraId="1421F347" w14:textId="77777777" w:rsidTr="00755FF3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5A96EA48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 Váš projekt</w:t>
            </w:r>
            <w:r w:rsidR="00BD7600">
              <w:rPr>
                <w:color w:val="FF0000"/>
                <w:sz w:val="20"/>
                <w:szCs w:val="20"/>
              </w:rPr>
              <w:t xml:space="preserve">, </w:t>
            </w:r>
            <w:r w:rsidRPr="00586900">
              <w:rPr>
                <w:color w:val="FF0000"/>
                <w:sz w:val="20"/>
                <w:szCs w:val="20"/>
              </w:rPr>
              <w:t>podporované aktivity</w:t>
            </w:r>
            <w:r w:rsidR="00BD7600">
              <w:rPr>
                <w:color w:val="FF0000"/>
                <w:sz w:val="20"/>
                <w:szCs w:val="20"/>
              </w:rPr>
              <w:t xml:space="preserve"> a cílové skupiny </w:t>
            </w:r>
            <w:r w:rsidR="00C168EA">
              <w:rPr>
                <w:color w:val="FF0000"/>
                <w:sz w:val="20"/>
                <w:szCs w:val="20"/>
              </w:rPr>
              <w:t>uživatelů</w:t>
            </w:r>
            <w:r w:rsidR="006846D7">
              <w:rPr>
                <w:color w:val="FF0000"/>
                <w:sz w:val="20"/>
                <w:szCs w:val="20"/>
              </w:rPr>
              <w:t xml:space="preserve"> (s ohledem na kritéria věcného hodnocení)</w:t>
            </w:r>
            <w:r w:rsidRPr="00586900">
              <w:rPr>
                <w:color w:val="FF0000"/>
                <w:sz w:val="20"/>
                <w:szCs w:val="20"/>
              </w:rPr>
              <w:t xml:space="preserve">. Aktivity musí být v souladu se </w:t>
            </w:r>
            <w:r w:rsidR="00467428">
              <w:rPr>
                <w:color w:val="FF0000"/>
                <w:sz w:val="20"/>
                <w:szCs w:val="20"/>
              </w:rPr>
              <w:t>60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467428">
              <w:rPr>
                <w:color w:val="FF0000"/>
                <w:sz w:val="20"/>
                <w:szCs w:val="20"/>
              </w:rPr>
              <w:t>Doprava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77777777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58CF27A5" w14:textId="084C73AF" w:rsidR="00156659" w:rsidRDefault="00156659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popište očekávaný konečný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45F399A6" w14:textId="77777777" w:rsidR="00156659" w:rsidRDefault="00156659" w:rsidP="00755FF3">
            <w:pPr>
              <w:rPr>
                <w:b/>
                <w:sz w:val="20"/>
                <w:szCs w:val="20"/>
              </w:rPr>
            </w:pPr>
          </w:p>
          <w:p w14:paraId="7B843CA8" w14:textId="77777777" w:rsidR="00156659" w:rsidRPr="00586900" w:rsidRDefault="00156659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343BD47B" w14:textId="77777777" w:rsidR="00446298" w:rsidRPr="00586900" w:rsidRDefault="00446298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6032DC" w:rsidRPr="00586900" w14:paraId="4297C60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3287832" w14:textId="55036B38" w:rsidR="006032DC" w:rsidRPr="006032DC" w:rsidRDefault="006032DC" w:rsidP="00991E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Počet obyvatel obce, kde je projekt realizován (údaj </w:t>
            </w:r>
            <w:r w:rsidRPr="006D0457">
              <w:rPr>
                <w:b/>
                <w:bCs/>
                <w:sz w:val="20"/>
                <w:szCs w:val="20"/>
              </w:rPr>
              <w:t>k 1. 1. 2022):</w:t>
            </w:r>
          </w:p>
        </w:tc>
      </w:tr>
      <w:tr w:rsidR="006032DC" w:rsidRPr="00586900" w14:paraId="27082EE4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27F9354" w14:textId="2F8D42DE" w:rsidR="006032DC" w:rsidRDefault="006032DC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obyvatel.</w:t>
            </w:r>
          </w:p>
          <w:p w14:paraId="53957076" w14:textId="7F351550" w:rsidR="006032DC" w:rsidRPr="00586900" w:rsidRDefault="006032DC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1569B2A9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</w:t>
            </w:r>
            <w:r w:rsidR="00E76B1A">
              <w:rPr>
                <w:color w:val="FF0000"/>
                <w:sz w:val="20"/>
                <w:szCs w:val="20"/>
              </w:rPr>
              <w:t>ů</w:t>
            </w:r>
            <w:r w:rsidRPr="00586900">
              <w:rPr>
                <w:color w:val="FF0000"/>
                <w:sz w:val="20"/>
                <w:szCs w:val="20"/>
              </w:rPr>
              <w:t>, stavební povolení atd.</w:t>
            </w: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4565081" w14:textId="08DF98CC"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705F51">
              <w:rPr>
                <w:color w:val="FF0000"/>
                <w:sz w:val="20"/>
                <w:szCs w:val="20"/>
              </w:rPr>
              <w:t>Rozvoj Krnovska</w:t>
            </w:r>
            <w:r w:rsidRPr="00586900">
              <w:rPr>
                <w:color w:val="FF0000"/>
                <w:sz w:val="20"/>
                <w:szCs w:val="20"/>
              </w:rPr>
              <w:t xml:space="preserve"> je vydáváno na 60 kalendářních dnů.</w:t>
            </w:r>
          </w:p>
        </w:tc>
      </w:tr>
      <w:tr w:rsidR="00991E7D" w:rsidRPr="00586900" w14:paraId="3B0E3A63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58366D5C" w14:textId="08FF56C9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EE1EE1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EE1EE1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EE1EE1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69BFD37" w14:textId="0A2FF1BC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</w:t>
            </w:r>
            <w:r w:rsidR="00BD7600">
              <w:rPr>
                <w:color w:val="FF0000"/>
                <w:sz w:val="20"/>
                <w:szCs w:val="20"/>
              </w:rPr>
              <w:t xml:space="preserve"> a ne po termínu stanoveném ve výzvě MAS (30.6.2025)</w:t>
            </w:r>
          </w:p>
        </w:tc>
      </w:tr>
      <w:tr w:rsidR="00991E7D" w:rsidRPr="00586900" w14:paraId="64586A5E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29824974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="00156659">
              <w:rPr>
                <w:color w:val="FF0000"/>
                <w:sz w:val="20"/>
                <w:szCs w:val="20"/>
              </w:rPr>
              <w:t xml:space="preserve"> a jejich zdroje financování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3"/>
        <w:gridCol w:w="5325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F4342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DF4342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DF4342">
              <w:rPr>
                <w:rFonts w:cs="Arial"/>
                <w:color w:val="FF0000"/>
                <w:sz w:val="2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C51CBCE" w:rsidR="00991E7D" w:rsidRPr="00DF4342" w:rsidRDefault="00726F7F" w:rsidP="00DF4342">
            <w:pPr>
              <w:rPr>
                <w:rFonts w:cs="Arial"/>
                <w:color w:val="FF0000"/>
                <w:sz w:val="20"/>
                <w:szCs w:val="20"/>
              </w:rPr>
            </w:pPr>
            <w:r w:rsidRPr="00DF4342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DF4342">
              <w:rPr>
                <w:rFonts w:cs="Arial"/>
                <w:color w:val="FF0000"/>
                <w:sz w:val="20"/>
                <w:szCs w:val="20"/>
              </w:rPr>
              <w:t xml:space="preserve">veďte Celkové </w:t>
            </w:r>
            <w:r w:rsidRPr="00DF4342">
              <w:rPr>
                <w:rFonts w:cs="Arial"/>
                <w:color w:val="FF0000"/>
                <w:sz w:val="20"/>
                <w:szCs w:val="20"/>
              </w:rPr>
              <w:t>způsobilé</w:t>
            </w:r>
            <w:r w:rsidR="00991E7D" w:rsidRPr="00DF4342">
              <w:rPr>
                <w:rFonts w:cs="Arial"/>
                <w:color w:val="FF0000"/>
                <w:sz w:val="20"/>
                <w:szCs w:val="20"/>
              </w:rPr>
              <w:t xml:space="preserve"> výdaje projektu</w:t>
            </w:r>
            <w:r w:rsidR="008B7B1D" w:rsidRPr="00DF4342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  <w:p w14:paraId="5BBDD888" w14:textId="532F8348" w:rsidR="00726F7F" w:rsidRPr="00DF4342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40C079A3" w:rsidR="00726F7F" w:rsidRPr="00DF4342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DF4342">
              <w:rPr>
                <w:rFonts w:cs="Arial"/>
                <w:color w:val="FF0000"/>
                <w:sz w:val="20"/>
                <w:szCs w:val="20"/>
              </w:rPr>
              <w:t>Dotace je 95 % z celkových způsobilých výdajů projektu</w:t>
            </w:r>
            <w:r w:rsidR="008B7B1D" w:rsidRPr="00DF4342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647584" w:rsidRPr="00586900" w14:paraId="3EC32706" w14:textId="77777777" w:rsidTr="00381093">
        <w:tc>
          <w:tcPr>
            <w:tcW w:w="9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6E9C6" w14:textId="5FC1A3BE" w:rsidR="00647584" w:rsidRPr="00A57123" w:rsidRDefault="00A57123" w:rsidP="00755FF3">
            <w:pPr>
              <w:rPr>
                <w:rFonts w:cstheme="minorHAnsi"/>
                <w:color w:val="7030A0"/>
              </w:rPr>
            </w:pPr>
            <w:r w:rsidRPr="00A57123">
              <w:rPr>
                <w:rFonts w:cstheme="minorHAnsi"/>
              </w:rPr>
              <w:t>Karta souladu projektu s principy udržitelné mobility:</w:t>
            </w:r>
          </w:p>
        </w:tc>
      </w:tr>
      <w:tr w:rsidR="00647584" w:rsidRPr="00586900" w14:paraId="072E54D2" w14:textId="77777777" w:rsidTr="00381093">
        <w:tc>
          <w:tcPr>
            <w:tcW w:w="9040" w:type="dxa"/>
            <w:tcBorders>
              <w:left w:val="single" w:sz="12" w:space="0" w:color="auto"/>
              <w:right w:val="single" w:sz="12" w:space="0" w:color="auto"/>
            </w:tcBorders>
          </w:tcPr>
          <w:p w14:paraId="7D0B0464" w14:textId="77777777" w:rsidR="00342F02" w:rsidRPr="00342F02" w:rsidRDefault="00342F02" w:rsidP="00342F02">
            <w:pPr>
              <w:jc w:val="both"/>
              <w:rPr>
                <w:rFonts w:cstheme="minorHAnsi"/>
              </w:rPr>
            </w:pPr>
            <w:r w:rsidRPr="00342F02">
              <w:rPr>
                <w:rFonts w:cstheme="minorHAnsi"/>
              </w:rPr>
              <w:t>Účelem Karty je doložit, že projekt je připraven v souladu s principy udržitelné mobility.</w:t>
            </w:r>
          </w:p>
          <w:p w14:paraId="7D4F654E" w14:textId="77777777" w:rsidR="0053199B" w:rsidRPr="0053199B" w:rsidRDefault="0053199B" w:rsidP="0053199B">
            <w:pPr>
              <w:ind w:left="48"/>
              <w:jc w:val="both"/>
              <w:rPr>
                <w:rFonts w:cstheme="minorHAnsi"/>
              </w:rPr>
            </w:pPr>
            <w:r w:rsidRPr="0053199B">
              <w:rPr>
                <w:rFonts w:cstheme="minorHAnsi"/>
              </w:rPr>
              <w:t>Při hodnocení přijatelnosti projektu bude CRR na podkladě Karty, vyplněné žadatelem, ověřovat, zda předložený projekt je:</w:t>
            </w:r>
          </w:p>
          <w:p w14:paraId="69EE6F9F" w14:textId="77777777" w:rsidR="0053199B" w:rsidRPr="0053199B" w:rsidRDefault="0053199B" w:rsidP="0053199B">
            <w:pPr>
              <w:pStyle w:val="Odstavecseseznamem"/>
              <w:numPr>
                <w:ilvl w:val="0"/>
                <w:numId w:val="4"/>
              </w:numPr>
              <w:ind w:left="851"/>
              <w:contextualSpacing w:val="0"/>
              <w:jc w:val="both"/>
              <w:rPr>
                <w:rFonts w:cstheme="minorHAnsi"/>
                <w:i/>
                <w:iCs/>
              </w:rPr>
            </w:pPr>
            <w:r w:rsidRPr="0053199B">
              <w:rPr>
                <w:rFonts w:cstheme="minorHAnsi"/>
                <w:i/>
                <w:iCs/>
              </w:rPr>
              <w:t>v souladu se strategií udržitelné mobility – je v souladu s existujícím strategickým dokumentem a přispívá k naplnění principů udržitelné mobility;</w:t>
            </w:r>
          </w:p>
          <w:p w14:paraId="7B3D2490" w14:textId="77777777" w:rsidR="0053199B" w:rsidRPr="0053199B" w:rsidRDefault="0053199B" w:rsidP="0053199B">
            <w:pPr>
              <w:pStyle w:val="Odstavecseseznamem"/>
              <w:numPr>
                <w:ilvl w:val="0"/>
                <w:numId w:val="4"/>
              </w:numPr>
              <w:ind w:left="851"/>
              <w:contextualSpacing w:val="0"/>
              <w:jc w:val="both"/>
              <w:rPr>
                <w:rFonts w:cstheme="minorHAnsi"/>
                <w:i/>
                <w:iCs/>
              </w:rPr>
            </w:pPr>
            <w:r w:rsidRPr="0053199B">
              <w:rPr>
                <w:rFonts w:cstheme="minorHAnsi"/>
                <w:i/>
                <w:iCs/>
              </w:rPr>
              <w:t>integrován – navazuje na obdobné projekty, síť v okolí, nebo má potenciál synergicky působit s jinými projekty;</w:t>
            </w:r>
          </w:p>
          <w:p w14:paraId="5E6816BF" w14:textId="73B0A78A" w:rsidR="0043108C" w:rsidRPr="0053199B" w:rsidRDefault="0053199B" w:rsidP="0053199B">
            <w:pPr>
              <w:rPr>
                <w:rFonts w:cstheme="minorHAnsi"/>
                <w:b/>
                <w:color w:val="7030A0"/>
              </w:rPr>
            </w:pPr>
            <w:r w:rsidRPr="0053199B">
              <w:rPr>
                <w:rFonts w:cstheme="minorHAnsi"/>
                <w:i/>
                <w:iCs/>
              </w:rPr>
              <w:t>je připravován v participativním duchu – byl projednán s veřejností, s užší cílovou skupinou, nebo byl zveřejněn v médiích</w:t>
            </w:r>
          </w:p>
          <w:p w14:paraId="667A918A" w14:textId="15A4FDEF" w:rsidR="0043108C" w:rsidRPr="00E12539" w:rsidRDefault="0043108C" w:rsidP="00755FF3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</w:tr>
    </w:tbl>
    <w:p w14:paraId="373024D9" w14:textId="77777777" w:rsidR="00647584" w:rsidRDefault="00647584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647584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B5F678A" w14:textId="4658409E" w:rsidR="00991E7D" w:rsidRPr="001C1F58" w:rsidRDefault="00AB1ECE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726 001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613F9DD" w14:textId="322FDC67" w:rsidR="00991E7D" w:rsidRPr="00586900" w:rsidRDefault="00AB1ECE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AB1ECE">
              <w:rPr>
                <w:rFonts w:cs="Arial"/>
                <w:bCs/>
                <w:sz w:val="20"/>
                <w:szCs w:val="20"/>
              </w:rPr>
              <w:t>Délka komunikace s realizovaným bezpečnostním opatřením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765804F" w14:textId="124C55C5" w:rsidR="00991E7D" w:rsidRPr="00586900" w:rsidRDefault="00AB1ECE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BF81530" w14:textId="507932DD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="00586900"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751BF02" w14:textId="45C94A3C" w:rsidR="00991E7D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0E3CEE61" w14:textId="77777777" w:rsidTr="00647584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DE1A449" w14:textId="6E7EC4B4" w:rsidR="00991E7D" w:rsidRPr="001C1F58" w:rsidRDefault="00AB1ECE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761 011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46863C0" w14:textId="76A4AD93" w:rsidR="00991E7D" w:rsidRPr="00586900" w:rsidRDefault="003F239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F239D">
              <w:rPr>
                <w:rFonts w:cs="Arial"/>
                <w:bCs/>
                <w:sz w:val="20"/>
                <w:szCs w:val="20"/>
              </w:rPr>
              <w:t>Počet nehod na km komunikace s realizovaným bezpečnostním opatřením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3C7B7C9" w14:textId="08DE5FA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="003F239D">
              <w:rPr>
                <w:rFonts w:cs="Arial"/>
                <w:bCs/>
                <w:sz w:val="20"/>
                <w:szCs w:val="20"/>
              </w:rPr>
              <w:t>počet nehod/km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FE2573C" w14:textId="5631BEF4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="00586900"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93981FF" w14:textId="4D778AB4" w:rsidR="00991E7D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E145B29" w14:textId="77777777" w:rsidTr="007F34F6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5291B170" w14:textId="1D8732DC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A510A5A" w14:textId="1D21C671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5206F16A" w14:textId="01FB34B5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685DBA" w14:textId="24E861C3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E089D5" w14:textId="73BC968C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29973567" w14:textId="77777777" w:rsidTr="007F34F6">
        <w:trPr>
          <w:trHeight w:val="356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DFA293C" w14:textId="76EB50C6" w:rsidR="00991E7D" w:rsidRPr="001C1F58" w:rsidRDefault="007F34F6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761 101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10CA7A8" w14:textId="256176CA" w:rsidR="00991E7D" w:rsidRPr="00586900" w:rsidRDefault="00B7361F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ED66DA">
              <w:rPr>
                <w:rFonts w:cs="Arial"/>
                <w:bCs/>
                <w:sz w:val="20"/>
                <w:szCs w:val="20"/>
              </w:rPr>
              <w:t>(</w:t>
            </w:r>
            <w:r w:rsidRPr="00B7361F">
              <w:rPr>
                <w:rFonts w:cs="Arial"/>
                <w:bCs/>
                <w:sz w:val="20"/>
                <w:szCs w:val="20"/>
              </w:rPr>
              <w:t>RCO 58) - Podpořená specializovaná cyklistická infrastruktura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D88AF18" w14:textId="12E5B67A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="00D443FE">
              <w:rPr>
                <w:rFonts w:cs="Arial"/>
                <w:bCs/>
                <w:sz w:val="20"/>
                <w:szCs w:val="20"/>
              </w:rPr>
              <w:t>km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FB22E77" w14:textId="21F1283D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="001B4D16"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AD8A15" w14:textId="3BA16A6D" w:rsidR="00991E7D" w:rsidRPr="00586900" w:rsidRDefault="001B4D16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BB6447" w:rsidRPr="001C1F58" w14:paraId="6D82244A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C9B5B19" w14:textId="4AB311D3" w:rsidR="00BB6447" w:rsidRPr="00C14D7D" w:rsidRDefault="007F34F6" w:rsidP="00BB644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764 010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F028FF2" w14:textId="5818A310" w:rsidR="00BB6447" w:rsidRPr="006249E8" w:rsidRDefault="00B7361F" w:rsidP="00BB64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7361F">
              <w:rPr>
                <w:rFonts w:cs="Arial"/>
                <w:bCs/>
                <w:sz w:val="20"/>
                <w:szCs w:val="20"/>
              </w:rPr>
              <w:t>Parkovací místa pro jízdní kola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605903CA" w14:textId="14BC38CD" w:rsidR="00BB6447" w:rsidRPr="00586900" w:rsidRDefault="00BB6447" w:rsidP="00BB64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počet </w:t>
            </w:r>
            <w:r w:rsidR="00B7361F">
              <w:rPr>
                <w:rFonts w:cs="Arial"/>
                <w:bCs/>
                <w:sz w:val="20"/>
                <w:szCs w:val="20"/>
              </w:rPr>
              <w:t>míst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F34428" w14:textId="6BC6AB73" w:rsidR="00BB6447" w:rsidRPr="00586900" w:rsidRDefault="00BB6447" w:rsidP="00BB64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C8AA252" w14:textId="3FAC4793" w:rsidR="00BB6447" w:rsidRPr="00586900" w:rsidRDefault="00BB6447" w:rsidP="00BB644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43108C" w:rsidRPr="001C1F58" w14:paraId="6F979D2D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A3DAB9" w14:textId="2F235E70" w:rsidR="0043108C" w:rsidRPr="00C14D7D" w:rsidRDefault="007F34F6" w:rsidP="0043108C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761 201</w:t>
            </w:r>
            <w:r w:rsidR="0043108C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20ADA7A" w14:textId="4DE9F1C6" w:rsidR="0043108C" w:rsidRPr="006249E8" w:rsidRDefault="00B7361F" w:rsidP="0043108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7361F">
              <w:rPr>
                <w:rFonts w:cs="Arial"/>
                <w:bCs/>
                <w:sz w:val="20"/>
                <w:szCs w:val="20"/>
              </w:rPr>
              <w:t>(RCR 64) Počet uživatelů specializované cyklistické infrastruktury za rok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56C4A0C" w14:textId="1DD4BE9A" w:rsidR="0043108C" w:rsidRPr="00586900" w:rsidRDefault="0043108C" w:rsidP="0043108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664B8">
              <w:rPr>
                <w:rFonts w:cs="Arial"/>
                <w:bCs/>
                <w:sz w:val="20"/>
                <w:szCs w:val="20"/>
              </w:rPr>
              <w:t>počet osob</w:t>
            </w:r>
            <w:r w:rsidR="00517941">
              <w:rPr>
                <w:rFonts w:cs="Arial"/>
                <w:bCs/>
                <w:sz w:val="20"/>
                <w:szCs w:val="20"/>
              </w:rPr>
              <w:t>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76616C06" w14:textId="18D46D8E" w:rsidR="0043108C" w:rsidRPr="00586900" w:rsidRDefault="0043108C" w:rsidP="0043108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27A0ED4" w14:textId="287BA24D" w:rsidR="0043108C" w:rsidRPr="00586900" w:rsidRDefault="0043108C" w:rsidP="0043108C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0"/>
        <w:gridCol w:w="5370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159625B5" w:rsidR="00991E7D" w:rsidRPr="00DF4342" w:rsidRDefault="00586900" w:rsidP="00755FF3">
            <w:pPr>
              <w:rPr>
                <w:sz w:val="20"/>
                <w:szCs w:val="20"/>
              </w:rPr>
            </w:pPr>
            <w:r w:rsidRPr="00DF4342">
              <w:rPr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991E7D" w:rsidRPr="007B5D3D" w14:paraId="43D02F30" w14:textId="77777777" w:rsidTr="00586900">
        <w:tc>
          <w:tcPr>
            <w:tcW w:w="3671" w:type="dxa"/>
          </w:tcPr>
          <w:p w14:paraId="245B2300" w14:textId="77777777" w:rsidR="00991E7D" w:rsidRPr="007B5D3D" w:rsidRDefault="00991E7D" w:rsidP="00755FF3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2D37CD3A" w:rsidR="00991E7D" w:rsidRPr="00DF4342" w:rsidRDefault="00586900" w:rsidP="00755FF3">
            <w:pPr>
              <w:rPr>
                <w:color w:val="FF0000"/>
                <w:sz w:val="20"/>
                <w:szCs w:val="20"/>
              </w:rPr>
            </w:pPr>
            <w:r w:rsidRPr="00DF4342">
              <w:rPr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  <w:tr w:rsidR="00991E7D" w:rsidRPr="007B5D3D" w14:paraId="5E6F9BD4" w14:textId="77777777" w:rsidTr="00586900">
        <w:tc>
          <w:tcPr>
            <w:tcW w:w="3671" w:type="dxa"/>
          </w:tcPr>
          <w:p w14:paraId="24AF2BD7" w14:textId="77777777" w:rsidR="00991E7D" w:rsidRPr="007B5D3D" w:rsidRDefault="00991E7D" w:rsidP="00755FF3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7892218D" w:rsidR="00991E7D" w:rsidRPr="00DF4342" w:rsidRDefault="00586900" w:rsidP="00755FF3">
            <w:pPr>
              <w:rPr>
                <w:sz w:val="20"/>
                <w:szCs w:val="20"/>
              </w:rPr>
            </w:pPr>
            <w:r w:rsidRPr="00DF4342">
              <w:rPr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44B91C21" w:rsidR="00991E7D" w:rsidRPr="001C1F58" w:rsidRDefault="00A41571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0C7900F9" w:rsidR="00991E7D" w:rsidRPr="001C1F58" w:rsidRDefault="00A41571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</w:t>
            </w:r>
            <w:r w:rsidR="00991E7D">
              <w:rPr>
                <w:rFonts w:cs="Arial"/>
                <w:bCs/>
                <w:szCs w:val="20"/>
              </w:rPr>
              <w:t>odpis předkladatele projektového záměru: (elektronický podpis)</w:t>
            </w:r>
            <w:r w:rsidR="00991E7D"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AA14A7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AA14A7">
              <w:rPr>
                <w:rFonts w:cs="Arial"/>
                <w:bCs/>
                <w:color w:val="FF0000"/>
                <w:sz w:val="20"/>
                <w:szCs w:val="20"/>
              </w:rPr>
              <w:t>Elektronicky podepište</w:t>
            </w:r>
          </w:p>
        </w:tc>
      </w:tr>
    </w:tbl>
    <w:p w14:paraId="09098E16" w14:textId="77777777" w:rsidR="00991E7D" w:rsidRDefault="00991E7D" w:rsidP="006E6251"/>
    <w:p w14:paraId="7A728B5C" w14:textId="48525219" w:rsidR="00BD77F3" w:rsidRPr="006E6251" w:rsidRDefault="00BD77F3" w:rsidP="006E6251"/>
    <w:sectPr w:rsidR="00BD77F3" w:rsidRPr="006E6251" w:rsidSect="0086241E">
      <w:headerReference w:type="default" r:id="rId14"/>
      <w:footerReference w:type="default" r:id="rId15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E1DC" w14:textId="77777777" w:rsidR="006B5C45" w:rsidRDefault="006B5C45" w:rsidP="00DC4000">
      <w:pPr>
        <w:spacing w:after="0" w:line="240" w:lineRule="auto"/>
      </w:pPr>
      <w:r>
        <w:separator/>
      </w:r>
    </w:p>
  </w:endnote>
  <w:endnote w:type="continuationSeparator" w:id="0">
    <w:p w14:paraId="7495D360" w14:textId="77777777" w:rsidR="006B5C45" w:rsidRDefault="006B5C45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 Medium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78A5" w14:textId="77777777" w:rsidR="006B5C45" w:rsidRDefault="006B5C45" w:rsidP="00DC4000">
      <w:pPr>
        <w:spacing w:after="0" w:line="240" w:lineRule="auto"/>
      </w:pPr>
      <w:r>
        <w:separator/>
      </w:r>
    </w:p>
  </w:footnote>
  <w:footnote w:type="continuationSeparator" w:id="0">
    <w:p w14:paraId="70410AF3" w14:textId="77777777" w:rsidR="006B5C45" w:rsidRDefault="006B5C45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4F22252C" w:rsidR="00DC4000" w:rsidRDefault="00926B70" w:rsidP="0046621E">
    <w:pPr>
      <w:pStyle w:val="Zhlav"/>
      <w:spacing w:after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B8A60" wp14:editId="5681EEEF">
              <wp:simplePos x="0" y="0"/>
              <wp:positionH relativeFrom="column">
                <wp:posOffset>2848610</wp:posOffset>
              </wp:positionH>
              <wp:positionV relativeFrom="paragraph">
                <wp:posOffset>6985</wp:posOffset>
              </wp:positionV>
              <wp:extent cx="1432560" cy="960120"/>
              <wp:effectExtent l="0" t="0" r="0" b="0"/>
              <wp:wrapNone/>
              <wp:docPr id="8" name="TextovéPole 8">
                <a:extLst xmlns:a="http://schemas.openxmlformats.org/drawingml/2006/main">
                  <a:ext uri="{FF2B5EF4-FFF2-40B4-BE49-F238E27FC236}">
                    <a16:creationId xmlns:a16="http://schemas.microsoft.com/office/drawing/2014/main" id="{51AD349F-94AC-4E51-9D0E-7507A0A7D5F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2560" cy="960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7384D5" w14:textId="77777777" w:rsidR="00926B70" w:rsidRDefault="00926B70" w:rsidP="00926B70">
                          <w:pPr>
                            <w:spacing w:after="0"/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  <w:t>MINISTERSTVO</w:t>
                          </w:r>
                        </w:p>
                        <w:p w14:paraId="62BBD11E" w14:textId="77777777" w:rsidR="00926B70" w:rsidRDefault="00926B70" w:rsidP="00926B70">
                          <w:pPr>
                            <w:spacing w:after="0"/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  <w:t>PRO MÍSTNÍ</w:t>
                          </w:r>
                        </w:p>
                        <w:p w14:paraId="5A5261C2" w14:textId="77777777" w:rsidR="00926B70" w:rsidRDefault="00926B70" w:rsidP="00926B70">
                          <w:pPr>
                            <w:spacing w:after="0"/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  <w:t>ROZVOJ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1CB8A60" id="_x0000_t202" coordsize="21600,21600" o:spt="202" path="m,l,21600r21600,l21600,xe">
              <v:stroke joinstyle="miter"/>
              <v:path gradientshapeok="t" o:connecttype="rect"/>
            </v:shapetype>
            <v:shape id="TextovéPole 8" o:spid="_x0000_s1026" type="#_x0000_t202" style="position:absolute;margin-left:224.3pt;margin-top:.55pt;width:112.8pt;height:75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" filled="f" stroked="f">
              <v:textbox>
                <w:txbxContent>
                  <w:p w14:paraId="587384D5" w14:textId="77777777" w:rsidR="00926B70" w:rsidRDefault="00926B70" w:rsidP="00926B70">
                    <w:pPr>
                      <w:spacing w:after="0"/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  <w:t>MINISTERSTVO</w:t>
                    </w:r>
                  </w:p>
                  <w:p w14:paraId="62BBD11E" w14:textId="77777777" w:rsidR="00926B70" w:rsidRDefault="00926B70" w:rsidP="00926B70">
                    <w:pPr>
                      <w:spacing w:after="0"/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  <w:t>PRO MÍSTNÍ</w:t>
                    </w:r>
                  </w:p>
                  <w:p w14:paraId="5A5261C2" w14:textId="77777777" w:rsidR="00926B70" w:rsidRDefault="00926B70" w:rsidP="00926B70">
                    <w:pPr>
                      <w:spacing w:after="0"/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  <w:t>ROZVOJ</w:t>
                    </w:r>
                  </w:p>
                </w:txbxContent>
              </v:textbox>
            </v:shape>
          </w:pict>
        </mc:Fallback>
      </mc:AlternateContent>
    </w:r>
    <w:r w:rsidR="0046621E">
      <w:rPr>
        <w:noProof/>
      </w:rPr>
      <w:drawing>
        <wp:inline distT="0" distB="0" distL="0" distR="0" wp14:anchorId="10EBDEDC" wp14:editId="43D145B5">
          <wp:extent cx="1767600" cy="511200"/>
          <wp:effectExtent l="0" t="0" r="4445" b="3175"/>
          <wp:docPr id="4" name="Obrázek 3" descr="Publicita DF | EUREGIO EGRENSIS">
            <a:extLst xmlns:a="http://schemas.openxmlformats.org/drawingml/2006/main">
              <a:ext uri="{FF2B5EF4-FFF2-40B4-BE49-F238E27FC236}">
                <a16:creationId xmlns:a16="http://schemas.microsoft.com/office/drawing/2014/main" id="{3856B649-3EEC-4EFE-9962-890FDCEFDF88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Publicita DF | EUREGIO EGRENSIS">
                    <a:extLst>
                      <a:ext uri="{FF2B5EF4-FFF2-40B4-BE49-F238E27FC236}">
                        <a16:creationId xmlns:a16="http://schemas.microsoft.com/office/drawing/2014/main" id="{3856B649-3EEC-4EFE-9962-890FDCEFDF88}"/>
                      </a:ext>
                    </a:extLst>
                  </pic:cNvPr>
                  <pic:cNvPicPr preferRelativeResize="0"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241E">
      <w:t xml:space="preserve">  </w:t>
    </w:r>
    <w:r>
      <w:tab/>
    </w:r>
    <w:r>
      <w:rPr>
        <w:noProof/>
      </w:rPr>
      <w:t xml:space="preserve">        </w:t>
    </w:r>
    <w:r>
      <w:rPr>
        <w:noProof/>
      </w:rPr>
      <w:drawing>
        <wp:inline distT="0" distB="0" distL="0" distR="0" wp14:anchorId="0BE36127" wp14:editId="2D12C8F2">
          <wp:extent cx="2129945" cy="427723"/>
          <wp:effectExtent l="0" t="0" r="0" b="0"/>
          <wp:docPr id="6" name="Obrázek 5" descr="Ministerstvo pro místní rozvoj ČR - Logo MMR">
            <a:extLst xmlns:a="http://schemas.openxmlformats.org/drawingml/2006/main">
              <a:ext uri="{FF2B5EF4-FFF2-40B4-BE49-F238E27FC236}">
                <a16:creationId xmlns:a16="http://schemas.microsoft.com/office/drawing/2014/main" id="{DA2AA928-20E6-43B7-A21D-50B123AE5A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 descr="Ministerstvo pro místní rozvoj ČR - Logo MMR">
                    <a:extLst>
                      <a:ext uri="{FF2B5EF4-FFF2-40B4-BE49-F238E27FC236}">
                        <a16:creationId xmlns:a16="http://schemas.microsoft.com/office/drawing/2014/main" id="{DA2AA928-20E6-43B7-A21D-50B123AE5AB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9412" b="89412" l="3046" r="89848">
                                <a14:foregroundMark x1="7107" y1="31765" x2="7107" y2="31765"/>
                                <a14:foregroundMark x1="3046" y1="42353" x2="3046" y2="42353"/>
                                <a14:foregroundMark x1="3807" y1="76471" x2="3807" y2="76471"/>
                                <a14:backgroundMark x1="17766" y1="48235" x2="17766" y2="48235"/>
                                <a14:backgroundMark x1="13452" y1="48235" x2="13452" y2="48235"/>
                                <a14:backgroundMark x1="16244" y1="48235" x2="16244" y2="48235"/>
                                <a14:backgroundMark x1="16497" y1="56471" x2="16497" y2="5647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945" cy="427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49F8DF2B" wp14:editId="6B964AC9">
          <wp:extent cx="1473607" cy="352628"/>
          <wp:effectExtent l="0" t="0" r="0" b="9525"/>
          <wp:docPr id="9" name="Obrázek 8">
            <a:extLst xmlns:a="http://schemas.openxmlformats.org/drawingml/2006/main">
              <a:ext uri="{FF2B5EF4-FFF2-40B4-BE49-F238E27FC236}">
                <a16:creationId xmlns:a16="http://schemas.microsoft.com/office/drawing/2014/main" id="{0935CF90-9D2C-4D61-BF08-06CEBC1B6C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8">
                    <a:extLst>
                      <a:ext uri="{FF2B5EF4-FFF2-40B4-BE49-F238E27FC236}">
                        <a16:creationId xmlns:a16="http://schemas.microsoft.com/office/drawing/2014/main" id="{0935CF90-9D2C-4D61-BF08-06CEBC1B6C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73607" cy="352628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513DC"/>
    <w:multiLevelType w:val="hybridMultilevel"/>
    <w:tmpl w:val="BA586644"/>
    <w:lvl w:ilvl="0" w:tplc="CD6AEF6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71FC2E01"/>
    <w:multiLevelType w:val="hybridMultilevel"/>
    <w:tmpl w:val="40960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0"/>
  </w:num>
  <w:num w:numId="2" w16cid:durableId="17699833">
    <w:abstractNumId w:val="1"/>
  </w:num>
  <w:num w:numId="3" w16cid:durableId="315688869">
    <w:abstractNumId w:val="3"/>
  </w:num>
  <w:num w:numId="4" w16cid:durableId="1216232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5018F"/>
    <w:rsid w:val="000D1CE1"/>
    <w:rsid w:val="000E249A"/>
    <w:rsid w:val="000E60B8"/>
    <w:rsid w:val="00106565"/>
    <w:rsid w:val="001115D4"/>
    <w:rsid w:val="00117535"/>
    <w:rsid w:val="001304C8"/>
    <w:rsid w:val="0015550A"/>
    <w:rsid w:val="00156659"/>
    <w:rsid w:val="001664B8"/>
    <w:rsid w:val="00174A6F"/>
    <w:rsid w:val="001851CE"/>
    <w:rsid w:val="001A788B"/>
    <w:rsid w:val="001B4D16"/>
    <w:rsid w:val="001E2DAC"/>
    <w:rsid w:val="00211D24"/>
    <w:rsid w:val="00223C06"/>
    <w:rsid w:val="0023690F"/>
    <w:rsid w:val="00236CF7"/>
    <w:rsid w:val="00260C35"/>
    <w:rsid w:val="002749EF"/>
    <w:rsid w:val="002E7863"/>
    <w:rsid w:val="00305610"/>
    <w:rsid w:val="00305A1C"/>
    <w:rsid w:val="00331076"/>
    <w:rsid w:val="0033611C"/>
    <w:rsid w:val="00342F02"/>
    <w:rsid w:val="00351DDA"/>
    <w:rsid w:val="00381093"/>
    <w:rsid w:val="00392DF7"/>
    <w:rsid w:val="003B6FCF"/>
    <w:rsid w:val="003E4E8C"/>
    <w:rsid w:val="003F239D"/>
    <w:rsid w:val="00430678"/>
    <w:rsid w:val="0043108C"/>
    <w:rsid w:val="00446298"/>
    <w:rsid w:val="00455349"/>
    <w:rsid w:val="0046621E"/>
    <w:rsid w:val="00467428"/>
    <w:rsid w:val="00480754"/>
    <w:rsid w:val="004A70A7"/>
    <w:rsid w:val="004E36F2"/>
    <w:rsid w:val="004E4B1D"/>
    <w:rsid w:val="00512073"/>
    <w:rsid w:val="00517941"/>
    <w:rsid w:val="0053199B"/>
    <w:rsid w:val="005320CB"/>
    <w:rsid w:val="00566AB1"/>
    <w:rsid w:val="00583387"/>
    <w:rsid w:val="00586900"/>
    <w:rsid w:val="005A1227"/>
    <w:rsid w:val="005A73E5"/>
    <w:rsid w:val="006032DC"/>
    <w:rsid w:val="006249E8"/>
    <w:rsid w:val="00647584"/>
    <w:rsid w:val="00650FCD"/>
    <w:rsid w:val="006846D7"/>
    <w:rsid w:val="006966BD"/>
    <w:rsid w:val="006B5C45"/>
    <w:rsid w:val="006C580A"/>
    <w:rsid w:val="006D0457"/>
    <w:rsid w:val="006E6251"/>
    <w:rsid w:val="006F460C"/>
    <w:rsid w:val="00700547"/>
    <w:rsid w:val="00705F51"/>
    <w:rsid w:val="00726F7F"/>
    <w:rsid w:val="0074625F"/>
    <w:rsid w:val="00752296"/>
    <w:rsid w:val="00756F8E"/>
    <w:rsid w:val="007A2964"/>
    <w:rsid w:val="007A448E"/>
    <w:rsid w:val="007C3C81"/>
    <w:rsid w:val="007D1E1A"/>
    <w:rsid w:val="007F34F6"/>
    <w:rsid w:val="00806654"/>
    <w:rsid w:val="00830206"/>
    <w:rsid w:val="0083254B"/>
    <w:rsid w:val="008349C7"/>
    <w:rsid w:val="0086241E"/>
    <w:rsid w:val="008752FD"/>
    <w:rsid w:val="00887F7E"/>
    <w:rsid w:val="008B7B1D"/>
    <w:rsid w:val="008C6FB6"/>
    <w:rsid w:val="008D2D37"/>
    <w:rsid w:val="00915CDA"/>
    <w:rsid w:val="00926B70"/>
    <w:rsid w:val="0094277B"/>
    <w:rsid w:val="00946CCF"/>
    <w:rsid w:val="00985397"/>
    <w:rsid w:val="00991E7D"/>
    <w:rsid w:val="009A7471"/>
    <w:rsid w:val="009C0741"/>
    <w:rsid w:val="009E2FC0"/>
    <w:rsid w:val="009F4EE4"/>
    <w:rsid w:val="009F54E0"/>
    <w:rsid w:val="00A0775D"/>
    <w:rsid w:val="00A17CD5"/>
    <w:rsid w:val="00A21233"/>
    <w:rsid w:val="00A24359"/>
    <w:rsid w:val="00A30C8B"/>
    <w:rsid w:val="00A41571"/>
    <w:rsid w:val="00A57123"/>
    <w:rsid w:val="00A66B7C"/>
    <w:rsid w:val="00A717E6"/>
    <w:rsid w:val="00A87731"/>
    <w:rsid w:val="00AA14A7"/>
    <w:rsid w:val="00AB1ECE"/>
    <w:rsid w:val="00AB22B9"/>
    <w:rsid w:val="00AC004D"/>
    <w:rsid w:val="00B2672F"/>
    <w:rsid w:val="00B551BC"/>
    <w:rsid w:val="00B7361F"/>
    <w:rsid w:val="00B82AF7"/>
    <w:rsid w:val="00B974E1"/>
    <w:rsid w:val="00BA3A50"/>
    <w:rsid w:val="00BA5D28"/>
    <w:rsid w:val="00BB6447"/>
    <w:rsid w:val="00BD7600"/>
    <w:rsid w:val="00BD77F3"/>
    <w:rsid w:val="00C10A8B"/>
    <w:rsid w:val="00C13769"/>
    <w:rsid w:val="00C14D7D"/>
    <w:rsid w:val="00C168EA"/>
    <w:rsid w:val="00C50A8E"/>
    <w:rsid w:val="00C566ED"/>
    <w:rsid w:val="00C72752"/>
    <w:rsid w:val="00C80779"/>
    <w:rsid w:val="00C97923"/>
    <w:rsid w:val="00CF0151"/>
    <w:rsid w:val="00CF0893"/>
    <w:rsid w:val="00D275CA"/>
    <w:rsid w:val="00D35299"/>
    <w:rsid w:val="00D41271"/>
    <w:rsid w:val="00D443FE"/>
    <w:rsid w:val="00D62762"/>
    <w:rsid w:val="00D65CEA"/>
    <w:rsid w:val="00D722D1"/>
    <w:rsid w:val="00D8584C"/>
    <w:rsid w:val="00DC4000"/>
    <w:rsid w:val="00DF4342"/>
    <w:rsid w:val="00E12539"/>
    <w:rsid w:val="00E20DCE"/>
    <w:rsid w:val="00E254D2"/>
    <w:rsid w:val="00E76B1A"/>
    <w:rsid w:val="00E86148"/>
    <w:rsid w:val="00E95273"/>
    <w:rsid w:val="00EC7810"/>
    <w:rsid w:val="00ED66DA"/>
    <w:rsid w:val="00EE1EE1"/>
    <w:rsid w:val="00EF18AB"/>
    <w:rsid w:val="00EF497B"/>
    <w:rsid w:val="00F16719"/>
    <w:rsid w:val="00F2592C"/>
    <w:rsid w:val="00F379D1"/>
    <w:rsid w:val="00F5521E"/>
    <w:rsid w:val="00F55E6E"/>
    <w:rsid w:val="00F6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"/>
    <w:basedOn w:val="Normln"/>
    <w:link w:val="OdstavecseseznamemChar"/>
    <w:uiPriority w:val="34"/>
    <w:qFormat/>
    <w:rsid w:val="00991E7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2592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497B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"/>
    <w:basedOn w:val="Standardnpsmoodstavce"/>
    <w:link w:val="Odstavecseseznamem"/>
    <w:uiPriority w:val="34"/>
    <w:locked/>
    <w:rsid w:val="00531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am@maskrnovsko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rop.mmr.cz/cs/vyzvy-2021-2027/vyzvy/60vyzvairo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krnovsko.cz/wp-content/uploads/2023/04/Interni-postupy-smernice-IROP-2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D218DD-A5A3-4F70-9F19-EA7E979923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922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Lenovo</cp:lastModifiedBy>
  <cp:revision>38</cp:revision>
  <cp:lastPrinted>2023-06-22T09:34:00Z</cp:lastPrinted>
  <dcterms:created xsi:type="dcterms:W3CDTF">2023-06-16T13:17:00Z</dcterms:created>
  <dcterms:modified xsi:type="dcterms:W3CDTF">2023-07-25T13:42:00Z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